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ind w:left="1069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Список документов для вступления </w:t>
      </w:r>
      <w:r/>
    </w:p>
    <w:p>
      <w:pPr>
        <w:pStyle w:val="644"/>
        <w:ind w:left="1069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члены КПК «БИК Инвест» и получения займа 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Документы от Заемщика:</w:t>
      </w:r>
      <w:r/>
    </w:p>
    <w:p>
      <w:pPr>
        <w:contextualSpacing/>
        <w:jc w:val="both"/>
        <w:spacing w:after="0" w:line="240" w:lineRule="auto"/>
        <w:tabs>
          <w:tab w:val="left" w:pos="460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    Паспорт –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копия (все заполненные листы).</w:t>
      </w:r>
      <w:r/>
    </w:p>
    <w:p>
      <w:pPr>
        <w:contextualSpacing/>
        <w:jc w:val="both"/>
        <w:spacing w:after="0" w:line="240" w:lineRule="auto"/>
        <w:tabs>
          <w:tab w:val="left" w:pos="460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</w:t>
      </w:r>
      <w:r>
        <w:rPr>
          <w:rFonts w:ascii="Times New Roman" w:hAnsi="Times New Roman" w:eastAsia="Times New Roman"/>
          <w:color w:val="FF0000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СНИЛС – копия.</w:t>
      </w:r>
      <w:r/>
    </w:p>
    <w:p>
      <w:pPr>
        <w:contextualSpacing/>
        <w:jc w:val="both"/>
        <w:spacing w:after="0" w:line="240" w:lineRule="auto"/>
        <w:tabs>
          <w:tab w:val="left" w:pos="460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  <w:t xml:space="preserve">Реквизиты счёта заемщика в банке для перечисления заёмных средств.</w:t>
      </w:r>
      <w:r/>
    </w:p>
    <w:p>
      <w:pPr>
        <w:contextualSpacing/>
        <w:jc w:val="both"/>
        <w:spacing w:after="0" w:line="240" w:lineRule="auto"/>
        <w:tabs>
          <w:tab w:val="left" w:pos="460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  <w:t xml:space="preserve">Справка о доходе и суммах налога физического лица за последние 12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месяцев или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иной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документ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*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подтверждающий доход (срок действия 1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мес.). </w:t>
      </w:r>
      <w:r/>
    </w:p>
    <w:p>
      <w:pPr>
        <w:contextualSpacing/>
        <w:jc w:val="both"/>
        <w:spacing w:after="0" w:line="240" w:lineRule="auto"/>
        <w:tabs>
          <w:tab w:val="left" w:pos="460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  <w:t xml:space="preserve">Трудовая книжка – копия, заверенная работодателем или другой документ подтверждающий занятость (срок действия 1 мес.).</w:t>
      </w:r>
      <w:r/>
    </w:p>
    <w:p>
      <w:pPr>
        <w:contextualSpacing/>
        <w:jc w:val="both"/>
        <w:spacing w:after="0" w:line="240" w:lineRule="auto"/>
        <w:tabs>
          <w:tab w:val="left" w:pos="510" w:leader="none"/>
          <w:tab w:val="left" w:pos="751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6.    Согласие на обработку персональных данных.</w:t>
      </w:r>
      <w:r/>
    </w:p>
    <w:p>
      <w:pPr>
        <w:contextualSpacing/>
        <w:jc w:val="both"/>
        <w:spacing w:after="0" w:line="240" w:lineRule="auto"/>
        <w:tabs>
          <w:tab w:val="left" w:pos="510" w:leader="none"/>
          <w:tab w:val="left" w:pos="751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Документы от Поручителя:</w:t>
      </w:r>
      <w:r/>
    </w:p>
    <w:p>
      <w:pPr>
        <w:contextualSpacing/>
        <w:jc w:val="both"/>
        <w:spacing w:after="0" w:line="240" w:lineRule="auto"/>
        <w:tabs>
          <w:tab w:val="left" w:pos="481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  <w:t xml:space="preserve">Паспорт –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копия (все заполненные листы).</w:t>
      </w:r>
      <w:r/>
    </w:p>
    <w:p>
      <w:pPr>
        <w:contextualSpacing/>
        <w:jc w:val="both"/>
        <w:spacing w:after="0" w:line="240" w:lineRule="auto"/>
        <w:tabs>
          <w:tab w:val="left" w:pos="481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  <w:t xml:space="preserve">СНИЛС – копия.</w:t>
      </w:r>
      <w:r/>
    </w:p>
    <w:p>
      <w:pPr>
        <w:contextualSpacing/>
        <w:jc w:val="both"/>
        <w:spacing w:after="0" w:line="240" w:lineRule="auto"/>
        <w:tabs>
          <w:tab w:val="left" w:pos="481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  <w:t xml:space="preserve">Справка о доходе и суммах налога физического лица за последние 12 месяцев</w:t>
      </w:r>
      <w:bookmarkStart w:id="0" w:name="_GoBack"/>
      <w:r/>
      <w:bookmarkEnd w:id="0"/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или иной документ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*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подтверждающий доход (срок действия 1 мес.). </w:t>
      </w:r>
      <w:r/>
    </w:p>
    <w:p>
      <w:pPr>
        <w:contextualSpacing/>
        <w:jc w:val="both"/>
        <w:spacing w:after="0" w:line="240" w:lineRule="auto"/>
        <w:tabs>
          <w:tab w:val="left" w:pos="481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  <w:t xml:space="preserve">Трудовая книжка – копия, заверенная работодателем или иной документ подтверждающий занятость (срок действия 1 мес.).</w:t>
      </w:r>
      <w:r/>
    </w:p>
    <w:p>
      <w:pPr>
        <w:contextualSpacing/>
        <w:jc w:val="both"/>
        <w:spacing w:after="0" w:line="240" w:lineRule="auto"/>
        <w:tabs>
          <w:tab w:val="left" w:pos="652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5.    </w:t>
      </w:r>
      <w:r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данных.</w:t>
      </w:r>
      <w:r/>
    </w:p>
    <w:p>
      <w:pPr>
        <w:contextualSpacing/>
        <w:jc w:val="both"/>
        <w:spacing w:after="0" w:line="240" w:lineRule="auto"/>
        <w:tabs>
          <w:tab w:val="left" w:pos="652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Документы по предмету ипотеки: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При цели займа покупка земельного участка:</w:t>
      </w:r>
      <w:r/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tabs>
          <w:tab w:val="left" w:pos="511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Выписка из ЕГРН на земельный участок - копия.</w:t>
      </w:r>
      <w:r/>
    </w:p>
    <w:p>
      <w:pPr>
        <w:numPr>
          <w:ilvl w:val="0"/>
          <w:numId w:val="1"/>
        </w:numPr>
        <w:contextualSpacing/>
        <w:ind w:left="30" w:firstLine="0"/>
        <w:jc w:val="both"/>
        <w:spacing w:after="0" w:line="240" w:lineRule="auto"/>
        <w:tabs>
          <w:tab w:val="left" w:pos="511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Договор купли-продажи земельного участка.</w:t>
      </w:r>
      <w:r/>
    </w:p>
    <w:p>
      <w:pPr>
        <w:contextualSpacing/>
        <w:ind w:left="30"/>
        <w:jc w:val="both"/>
        <w:spacing w:after="0" w:line="240" w:lineRule="auto"/>
        <w:tabs>
          <w:tab w:val="left" w:pos="511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contextualSpacing/>
        <w:jc w:val="both"/>
        <w:spacing w:after="0" w:line="240" w:lineRule="auto"/>
        <w:tabs>
          <w:tab w:val="left" w:pos="511" w:leader="none"/>
        </w:tabs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При цели займа покупка земельного участка и строительство фундамента:</w:t>
      </w:r>
      <w:r/>
    </w:p>
    <w:p>
      <w:pPr>
        <w:contextualSpacing/>
        <w:jc w:val="both"/>
        <w:spacing w:after="0" w:line="240" w:lineRule="auto"/>
        <w:tabs>
          <w:tab w:val="left" w:pos="511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  <w:t xml:space="preserve">Выписка из ЕГРН на земельный участок - копия.</w:t>
      </w:r>
      <w:r/>
    </w:p>
    <w:p>
      <w:pPr>
        <w:contextualSpacing/>
        <w:jc w:val="both"/>
        <w:spacing w:after="0" w:line="240" w:lineRule="auto"/>
        <w:tabs>
          <w:tab w:val="left" w:pos="511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  <w:t xml:space="preserve">Договор купли-продажи земельного участка.</w:t>
      </w:r>
      <w:r/>
    </w:p>
    <w:p>
      <w:pPr>
        <w:numPr>
          <w:ilvl w:val="0"/>
          <w:numId w:val="1"/>
        </w:numPr>
        <w:ind w:left="0" w:firstLine="0"/>
        <w:jc w:val="both"/>
        <w:spacing w:after="0" w:line="240" w:lineRule="auto"/>
        <w:tabs>
          <w:tab w:val="left" w:pos="511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Проект объекта строительства (план) – копия.</w:t>
      </w:r>
      <w:r/>
    </w:p>
    <w:p>
      <w:pPr>
        <w:numPr>
          <w:ilvl w:val="0"/>
          <w:numId w:val="1"/>
        </w:numPr>
        <w:ind w:left="426" w:hanging="426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Смета строительства фундамента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(рекомендованная форма)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ind w:left="426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При цели займа отделка жилого дома/благоустройство: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142" w:leader="none"/>
          <w:tab w:val="left" w:pos="709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Выписка из ЕГРН на земельный участок и жилой дом – копия (срок действия 1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мес.).</w:t>
      </w:r>
      <w:r/>
    </w:p>
    <w:p>
      <w:pPr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Смета работ по благоустройству, отделке жилого дома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(рекомендованная форма)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/>
    </w:p>
    <w:p>
      <w:pPr>
        <w:jc w:val="both"/>
        <w:tabs>
          <w:tab w:val="left" w:pos="426" w:leader="none"/>
        </w:tabs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Договор подряда в случае заключения договора подряда 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подрядчиком/строительной организацией.</w:t>
      </w:r>
      <w:r/>
    </w:p>
    <w:p>
      <w:pPr>
        <w:pStyle w:val="644"/>
        <w:ind w:left="0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 день сдачи документов при себе иметь оригиналы и копии документов.</w:t>
      </w:r>
      <w:r/>
    </w:p>
    <w:p>
      <w:pPr>
        <w:pStyle w:val="644"/>
        <w:ind w:left="0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pStyle w:val="644"/>
        <w:ind w:left="0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ВАЖНО!!!</w:t>
      </w:r>
      <w:r/>
    </w:p>
    <w:p>
      <w:pPr>
        <w:pStyle w:val="644"/>
        <w:ind w:left="0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 выходе из членов кооператива членские взносы, оплаченные при вступлении в КПК «БИК Инвест», не возвращаются, за исключением обязательного паевого взноса.</w:t>
      </w:r>
      <w:r/>
    </w:p>
    <w:p>
      <w:pPr>
        <w:pStyle w:val="644"/>
        <w:ind w:left="0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pStyle w:val="644"/>
        <w:ind w:left="0"/>
        <w:jc w:val="both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При необходимости могут быть затребованы дополнительные документы.</w:t>
      </w:r>
      <w:r/>
    </w:p>
    <w:p>
      <w:pPr>
        <w:spacing w:after="0" w:line="240" w:lineRule="auto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</w:r>
      <w:r/>
    </w:p>
    <w:p>
      <w:pPr>
        <w:spacing w:after="0" w:line="240" w:lineRule="auto"/>
        <w:rPr>
          <w:rFonts w:ascii="Times New Roman" w:hAnsi="Times New Roman" w:eastAsiaTheme="minorHAnsi"/>
          <w:b/>
          <w:sz w:val="26"/>
          <w:szCs w:val="26"/>
        </w:rPr>
      </w:pPr>
      <w:r>
        <w:rPr>
          <w:rFonts w:ascii="Times New Roman" w:hAnsi="Times New Roman" w:eastAsiaTheme="minorHAnsi"/>
          <w:b/>
          <w:sz w:val="26"/>
          <w:szCs w:val="26"/>
        </w:rPr>
        <w:t xml:space="preserve">г. Белгород, ул. Князя Трубецкого, 28</w:t>
      </w:r>
      <w:r>
        <w:rPr>
          <w:rFonts w:ascii="Times New Roman" w:hAnsi="Times New Roman" w:eastAsiaTheme="minorHAnsi"/>
          <w:b/>
          <w:sz w:val="26"/>
          <w:szCs w:val="26"/>
        </w:rPr>
        <w:br/>
      </w:r>
      <w:hyperlink r:id="rId10" w:tooltip="tel:88005555031" w:history="1">
        <w:r>
          <w:rPr>
            <w:rFonts w:ascii="Times New Roman" w:hAnsi="Times New Roman" w:eastAsiaTheme="minorHAnsi"/>
            <w:b/>
            <w:color w:val="0563C1" w:themeColor="hyperlink"/>
            <w:sz w:val="26"/>
            <w:szCs w:val="26"/>
            <w:u w:val="single"/>
          </w:rPr>
          <w:t xml:space="preserve">8 800 301 29 31</w:t>
        </w:r>
      </w:hyperlink>
      <w:r>
        <w:rPr>
          <w:rFonts w:ascii="Times New Roman" w:hAnsi="Times New Roman" w:eastAsiaTheme="minorHAnsi"/>
          <w:b/>
          <w:sz w:val="26"/>
          <w:szCs w:val="26"/>
        </w:rPr>
        <w:t xml:space="preserve"> или </w:t>
      </w:r>
      <w:hyperlink r:id="rId11" w:tooltip="tel:84722257190" w:history="1">
        <w:r>
          <w:rPr>
            <w:rFonts w:ascii="Times New Roman" w:hAnsi="Times New Roman" w:eastAsiaTheme="minorHAnsi"/>
            <w:b/>
            <w:color w:val="0563C1" w:themeColor="hyperlink"/>
            <w:sz w:val="26"/>
            <w:szCs w:val="26"/>
            <w:u w:val="single"/>
          </w:rPr>
          <w:t xml:space="preserve">8 4722 25-71-90</w:t>
        </w:r>
      </w:hyperlink>
      <w:r>
        <w:rPr>
          <w:rFonts w:ascii="Times New Roman" w:hAnsi="Times New Roman" w:eastAsiaTheme="minorHAnsi"/>
          <w:b/>
          <w:sz w:val="26"/>
          <w:szCs w:val="26"/>
        </w:rPr>
        <w:t xml:space="preserve"> (доб. 2)</w:t>
      </w:r>
      <w:bookmarkStart w:id="1" w:name="_Toc505116939"/>
      <w:r/>
      <w:bookmarkStart w:id="2" w:name="_Toc22137300"/>
      <w:r/>
      <w:bookmarkStart w:id="3" w:name="_Toc70344331"/>
      <w:r/>
      <w:bookmarkStart w:id="4" w:name="_Toc132373285"/>
      <w:r/>
      <w:bookmarkStart w:id="5" w:name="_Toc138772268"/>
      <w:r/>
      <w:bookmarkEnd w:id="1"/>
      <w:bookmarkEnd w:id="2"/>
      <w:bookmarkEnd w:id="3"/>
      <w:bookmarkEnd w:id="4"/>
      <w:bookmarkEnd w:id="5"/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ind w:left="-426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*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Иной 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окумент, подтверждающий доход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(один из документов с учетом типа занятости клиента):</w:t>
      </w:r>
      <w:r/>
    </w:p>
    <w:p>
      <w:pPr>
        <w:jc w:val="center"/>
        <w:spacing w:after="0" w:line="240" w:lineRule="auto"/>
        <w:rPr>
          <w:rFonts w:ascii="Tahoma" w:hAnsi="Tahoma" w:cs="Tahoma" w:eastAsia="Times New Roman"/>
          <w:b/>
          <w:lang w:eastAsia="ru-RU"/>
        </w:rPr>
      </w:pPr>
      <w:r>
        <w:rPr>
          <w:rFonts w:ascii="Tahoma" w:hAnsi="Tahoma" w:cs="Tahoma" w:eastAsia="Times New Roman"/>
          <w:b/>
          <w:lang w:eastAsia="ru-RU"/>
        </w:rPr>
      </w:r>
      <w:r/>
    </w:p>
    <w:tbl>
      <w:tblPr>
        <w:tblStyle w:val="652"/>
        <w:tblW w:w="10065" w:type="dxa"/>
        <w:tblInd w:w="-431" w:type="dxa"/>
        <w:tblLook w:val="04A0" w:firstRow="1" w:lastRow="0" w:firstColumn="1" w:lastColumn="0" w:noHBand="0" w:noVBand="1"/>
      </w:tblPr>
      <w:tblGrid>
        <w:gridCol w:w="7514"/>
        <w:gridCol w:w="2551"/>
      </w:tblGrid>
      <w:tr>
        <w:trPr/>
        <w:tc>
          <w:tcPr>
            <w:tcW w:w="75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Предоставляется документ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Период предоставления</w:t>
            </w:r>
            <w:r/>
          </w:p>
        </w:tc>
      </w:tr>
      <w:tr>
        <w:trPr>
          <w:trHeight w:val="465"/>
        </w:trPr>
        <w:tc>
          <w:tcPr>
            <w:gridSpan w:val="2"/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ahoma" w:hAnsi="Tahoma" w:cs="Tahoma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Для индивидуальных предпринимателей</w:t>
            </w:r>
            <w:r/>
          </w:p>
        </w:tc>
      </w:tr>
      <w:tr>
        <w:trPr/>
        <w:tc>
          <w:tcPr>
            <w:tcW w:w="75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Упрощенная система налогообложения: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н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алоговая декларация по единому налогу, уплачиваемому в связи с применением упрощенной системы налогообложения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 2 последних налоговых периода – 2 календарных года </w:t>
            </w:r>
            <w:r/>
          </w:p>
        </w:tc>
      </w:tr>
      <w:tr>
        <w:trPr/>
        <w:tc>
          <w:tcPr>
            <w:tcW w:w="75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Единый сельскохозяйственный налог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алоговая декларация по единому сельскохозяйственному налогу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 2 последних налоговых периода – 2 календарных года </w:t>
            </w:r>
            <w:r/>
          </w:p>
        </w:tc>
      </w:tr>
      <w:tr>
        <w:trPr/>
        <w:tc>
          <w:tcPr>
            <w:tcW w:w="75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Патентная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 систем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 налогообложения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: з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аявление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 получение патента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, п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атент  на право применения патентной системы налогообложения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и документ подтверждающий его оплату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 2 последних календарных года</w:t>
            </w:r>
            <w:r/>
          </w:p>
        </w:tc>
      </w:tr>
      <w:tr>
        <w:trPr/>
        <w:tc>
          <w:tcPr>
            <w:gridSpan w:val="2"/>
            <w:tcW w:w="100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6"/>
                <w:szCs w:val="26"/>
                <w:lang w:eastAsia="ru-RU"/>
              </w:rPr>
              <w:t xml:space="preserve">Налоговая декларация должна содержать отметку налоговой инспекции о принятии декларации, или должна быть предостав</w:t>
            </w:r>
            <w:r>
              <w:rPr>
                <w:rFonts w:ascii="Times New Roman" w:hAnsi="Times New Roman" w:eastAsia="Times New Roman"/>
                <w:i/>
                <w:sz w:val="26"/>
                <w:szCs w:val="26"/>
                <w:lang w:eastAsia="ru-RU"/>
              </w:rPr>
              <w:t xml:space="preserve">лена почтовая квитанция об отправке декларации в налоговые органы по почте, или должен быть предоставлен один из следующих документов: квитанция, уведомление, извещение или протокол входного контроля (при электронной отправке декларации в налоговые органы)</w:t>
            </w:r>
            <w:r/>
          </w:p>
        </w:tc>
      </w:tr>
      <w:tr>
        <w:trPr>
          <w:trHeight w:val="405"/>
        </w:trPr>
        <w:tc>
          <w:tcPr>
            <w:gridSpan w:val="2"/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Для самозанятых</w:t>
            </w:r>
            <w:r/>
          </w:p>
        </w:tc>
      </w:tr>
      <w:tr>
        <w:trPr/>
        <w:tc>
          <w:tcPr>
            <w:tcW w:w="75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Справка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 постановке на учет (снятии с учета) физического лица в качестве налогоплательщика налога на профессиональный доход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-</w:t>
            </w:r>
            <w:r/>
          </w:p>
        </w:tc>
      </w:tr>
      <w:tr>
        <w:trPr/>
        <w:tc>
          <w:tcPr>
            <w:tcW w:w="75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Справка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о состоянии расчетов (дохода) по налогу на профессиональный доход по форме ФНС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 текущий и предыдущий календарный год, но не менее 12 месяцев</w:t>
            </w:r>
            <w:r/>
          </w:p>
        </w:tc>
      </w:tr>
      <w:tr>
        <w:trPr>
          <w:trHeight w:val="489"/>
        </w:trPr>
        <w:tc>
          <w:tcPr>
            <w:gridSpan w:val="2"/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  <w:lang w:eastAsia="ru-RU"/>
              </w:rPr>
              <w:t xml:space="preserve">Для пенсионеров</w:t>
            </w:r>
            <w:r/>
          </w:p>
        </w:tc>
      </w:tr>
      <w:tr>
        <w:trPr/>
        <w:tc>
          <w:tcPr>
            <w:tcW w:w="75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правка/выписка о размере выплаченной/начисленной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ежемесячной денежной выплаты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sz w:val="26"/>
                <w:szCs w:val="26"/>
                <w:lang w:eastAsia="ru-RU"/>
              </w:rPr>
              <w:t xml:space="preserve">(Справка должна содержать реквизиты: ФИО; вид получаемых доходов; размер, наименование органа, выплачивающего данный вид дохода)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Минимум за 1 месяц</w:t>
            </w:r>
            <w:r/>
          </w:p>
        </w:tc>
      </w:tr>
    </w:tbl>
    <w:p>
      <w:pPr>
        <w:jc w:val="center"/>
        <w:spacing w:after="0" w:line="240" w:lineRule="auto"/>
        <w:rPr>
          <w:rFonts w:ascii="Tahoma" w:hAnsi="Tahoma" w:cs="Tahoma" w:eastAsia="Times New Roman"/>
          <w:b/>
          <w:lang w:eastAsia="ru-RU"/>
        </w:rPr>
      </w:pPr>
      <w:r>
        <w:rPr>
          <w:rFonts w:ascii="Tahoma" w:hAnsi="Tahoma" w:cs="Tahoma" w:eastAsia="Times New Roman"/>
          <w:b/>
          <w:lang w:eastAsia="ru-RU"/>
        </w:rPr>
      </w:r>
      <w:r/>
    </w:p>
    <w:p>
      <w:pPr>
        <w:ind w:left="-426"/>
        <w:jc w:val="both"/>
        <w:spacing w:after="0" w:line="240" w:lineRule="auto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Дополнительно может быть затребовано: </w:t>
      </w:r>
      <w:r>
        <w:rPr>
          <w:rFonts w:ascii="Times New Roman" w:hAnsi="Times New Roman" w:eastAsiaTheme="minorHAnsi"/>
          <w:sz w:val="26"/>
          <w:szCs w:val="26"/>
        </w:rPr>
        <w:t xml:space="preserve">копи</w:t>
      </w:r>
      <w:r>
        <w:rPr>
          <w:rFonts w:ascii="Times New Roman" w:hAnsi="Times New Roman" w:eastAsiaTheme="minorHAnsi"/>
          <w:sz w:val="26"/>
          <w:szCs w:val="26"/>
        </w:rPr>
        <w:t xml:space="preserve">я</w:t>
      </w:r>
      <w:r>
        <w:rPr>
          <w:rFonts w:ascii="Times New Roman" w:hAnsi="Times New Roman" w:eastAsiaTheme="minorHAnsi"/>
          <w:sz w:val="26"/>
          <w:szCs w:val="26"/>
        </w:rPr>
        <w:t xml:space="preserve"> свидетельства о государственной регистрации физического лица в качестве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индивидуального предпринимателя (если заемщик является ИП)</w:t>
      </w:r>
      <w:r/>
    </w:p>
    <w:p>
      <w:pPr>
        <w:ind w:left="-426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567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pragmaticactt">
    <w:panose1 w:val="020B060403050404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8" w:hanging="360"/>
      </w:pPr>
      <w:rPr>
        <w:sz w:val="18"/>
        <w:szCs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8229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30" w:hanging="504"/>
      </w:pPr>
      <w:rPr>
        <w:rFonts w:ascii="Tahoma" w:hAnsi="Tahoma" w:cs="Tahoma" w:hint="default"/>
        <w:b w:val="0"/>
        <w:color w:val="auto"/>
        <w:sz w:val="22"/>
        <w:szCs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90" w:hanging="648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48" w:hanging="792"/>
      </w:pPr>
      <w:rPr>
        <w:rFonts w:hint="default"/>
        <w:b w:val="0"/>
        <w:sz w:val="22"/>
      </w:rPr>
    </w:lvl>
    <w:lvl w:ilvl="5">
      <w:start w:val="1"/>
      <w:numFmt w:val="decimal"/>
      <w:isLgl w:val="false"/>
      <w:suff w:val="tab"/>
      <w:lvlText w:val="%6)"/>
      <w:lvlJc w:val="left"/>
      <w:pPr>
        <w:ind w:left="2452" w:hanging="936"/>
      </w:pPr>
      <w:rPr>
        <w:rFonts w:hint="default"/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956" w:hanging="1080"/>
      </w:pPr>
      <w:rPr>
        <w:rFonts w:hint="default"/>
        <w:b/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36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0"/>
    <w:next w:val="64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4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0"/>
    <w:next w:val="64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4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0"/>
    <w:next w:val="64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4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4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4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4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4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4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4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40"/>
    <w:next w:val="64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41"/>
    <w:link w:val="32"/>
    <w:uiPriority w:val="10"/>
    <w:rPr>
      <w:sz w:val="48"/>
      <w:szCs w:val="48"/>
    </w:rPr>
  </w:style>
  <w:style w:type="paragraph" w:styleId="34">
    <w:name w:val="Subtitle"/>
    <w:basedOn w:val="640"/>
    <w:next w:val="64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41"/>
    <w:link w:val="34"/>
    <w:uiPriority w:val="11"/>
    <w:rPr>
      <w:sz w:val="24"/>
      <w:szCs w:val="24"/>
    </w:rPr>
  </w:style>
  <w:style w:type="paragraph" w:styleId="36">
    <w:name w:val="Quote"/>
    <w:basedOn w:val="640"/>
    <w:next w:val="64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0"/>
    <w:next w:val="64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41"/>
    <w:link w:val="40"/>
    <w:uiPriority w:val="99"/>
  </w:style>
  <w:style w:type="paragraph" w:styleId="42">
    <w:name w:val="Footer"/>
    <w:basedOn w:val="64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41"/>
    <w:link w:val="42"/>
    <w:uiPriority w:val="99"/>
  </w:style>
  <w:style w:type="paragraph" w:styleId="44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647"/>
    <w:uiPriority w:val="99"/>
    <w:rPr>
      <w:sz w:val="18"/>
    </w:rPr>
  </w:style>
  <w:style w:type="paragraph" w:styleId="176">
    <w:name w:val="endnote text"/>
    <w:basedOn w:val="64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1"/>
    <w:uiPriority w:val="99"/>
    <w:semiHidden/>
    <w:unhideWhenUsed/>
    <w:rPr>
      <w:vertAlign w:val="superscript"/>
    </w:rPr>
  </w:style>
  <w:style w:type="paragraph" w:styleId="179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200" w:line="276" w:lineRule="auto"/>
    </w:pPr>
    <w:rPr>
      <w:rFonts w:ascii="Calibri" w:hAnsi="Calibri" w:cs="Times New Roman" w:eastAsia="Calibri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>
    <w:name w:val="List Paragraph"/>
    <w:basedOn w:val="640"/>
    <w:uiPriority w:val="34"/>
    <w:qFormat/>
    <w:pPr>
      <w:contextualSpacing/>
      <w:ind w:left="720"/>
    </w:pPr>
    <w:rPr>
      <w:rFonts w:asciiTheme="minorHAnsi" w:hAnsiTheme="minorHAnsi" w:eastAsiaTheme="minorHAnsi" w:cstheme="minorBidi"/>
    </w:rPr>
  </w:style>
  <w:style w:type="paragraph" w:styleId="645">
    <w:name w:val="Balloon Text"/>
    <w:basedOn w:val="640"/>
    <w:link w:val="6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6" w:customStyle="1">
    <w:name w:val="Текст выноски Знак"/>
    <w:basedOn w:val="641"/>
    <w:link w:val="645"/>
    <w:uiPriority w:val="99"/>
    <w:semiHidden/>
    <w:rPr>
      <w:rFonts w:ascii="Segoe UI" w:hAnsi="Segoe UI" w:cs="Segoe UI" w:eastAsia="Calibri"/>
      <w:sz w:val="18"/>
      <w:szCs w:val="18"/>
    </w:rPr>
  </w:style>
  <w:style w:type="paragraph" w:styleId="647">
    <w:name w:val="footnote text"/>
    <w:basedOn w:val="640"/>
    <w:link w:val="648"/>
    <w:uiPriority w:val="99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648" w:customStyle="1">
    <w:name w:val="Текст сноски Знак"/>
    <w:basedOn w:val="641"/>
    <w:link w:val="647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649">
    <w:name w:val="footnote reference"/>
    <w:uiPriority w:val="99"/>
    <w:rPr>
      <w:vertAlign w:val="superscript"/>
    </w:rPr>
  </w:style>
  <w:style w:type="paragraph" w:styleId="650">
    <w:name w:val="Body Text 3"/>
    <w:basedOn w:val="640"/>
    <w:link w:val="651"/>
    <w:pPr>
      <w:jc w:val="both"/>
      <w:spacing w:after="60" w:line="240" w:lineRule="auto"/>
    </w:pPr>
    <w:rPr>
      <w:rFonts w:ascii="PragmaticaCTT" w:hAnsi="PragmaticaCTT" w:cs="Courier New" w:eastAsia="Times New Roman"/>
      <w:szCs w:val="20"/>
      <w:lang w:eastAsia="ru-RU"/>
    </w:rPr>
  </w:style>
  <w:style w:type="character" w:styleId="651" w:customStyle="1">
    <w:name w:val="Основной текст 3 Знак"/>
    <w:basedOn w:val="641"/>
    <w:link w:val="650"/>
    <w:rPr>
      <w:rFonts w:ascii="PragmaticaCTT" w:hAnsi="PragmaticaCTT" w:cs="Courier New" w:eastAsia="Times New Roman"/>
      <w:szCs w:val="20"/>
      <w:lang w:eastAsia="ru-RU"/>
    </w:rPr>
  </w:style>
  <w:style w:type="table" w:styleId="652">
    <w:name w:val="Table Grid"/>
    <w:basedOn w:val="64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tel:88005555031" TargetMode="External"/><Relationship Id="rId11" Type="http://schemas.openxmlformats.org/officeDocument/2006/relationships/hyperlink" Target="tel:8472225719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2F8098C3-6DEB-463F-B00A-49A91231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Колиниченко Елена Петровна</dc:creator>
  <cp:keywords/>
  <dc:description/>
  <cp:lastModifiedBy>Смолякова Анна Леонидовна</cp:lastModifiedBy>
  <cp:revision>14</cp:revision>
  <dcterms:created xsi:type="dcterms:W3CDTF">2023-07-25T07:37:00Z</dcterms:created>
  <dcterms:modified xsi:type="dcterms:W3CDTF">2023-08-04T14:52:14Z</dcterms:modified>
</cp:coreProperties>
</file>